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99C1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 xml:space="preserve">Balatonszepezd Község Önkormányzata Képviselő-testületének </w:t>
      </w:r>
    </w:p>
    <w:p w14:paraId="47694D2A" w14:textId="15FA598D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15</w:t>
      </w: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/</w:t>
      </w:r>
      <w:r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2021</w:t>
      </w: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. (</w:t>
      </w:r>
      <w:r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XI.22.)</w:t>
      </w: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 xml:space="preserve"> önkormányzati rendelete</w:t>
      </w:r>
    </w:p>
    <w:p w14:paraId="2DC22C1C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</w:p>
    <w:p w14:paraId="0D22FE93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a helyi közművelődési feladatok ellátásáról szóló 3/2021. (II.25.) önkormányzati rendelet módosításáról</w:t>
      </w:r>
    </w:p>
    <w:p w14:paraId="128CFD0F" w14:textId="76DC6CF9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i/>
          <w:iCs/>
          <w:kern w:val="2"/>
          <w:sz w:val="24"/>
          <w:szCs w:val="24"/>
          <w:lang w:eastAsia="zh-CN" w:bidi="hi-IN"/>
        </w:rPr>
      </w:pPr>
    </w:p>
    <w:p w14:paraId="45D4F001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i/>
          <w:iCs/>
          <w:kern w:val="2"/>
          <w:sz w:val="24"/>
          <w:szCs w:val="24"/>
          <w:lang w:eastAsia="zh-CN" w:bidi="hi-IN"/>
        </w:rPr>
      </w:pPr>
    </w:p>
    <w:p w14:paraId="1508421D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  <w:t>Balatonszepezd Község Önkormányzata Képviselő-testülete a muzeális intézményekről, a nyilvános könyvtári ellátásról és a közművelődésről szóló 1997. évi CXL. törvény 83/A. § (1) bekezdésében kapott felhatalmazás alapján, a Magyarország helyi önkormányzatairól szóló 2011. évi CLXXXIX. törvény 13. § (1) bekezdés 7. pontjában meghatározott feladatkörében eljárva a következőket rendeli el:</w:t>
      </w:r>
    </w:p>
    <w:p w14:paraId="78DD0DA7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5361A592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1. §</w:t>
      </w:r>
    </w:p>
    <w:p w14:paraId="6419AD13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</w:p>
    <w:p w14:paraId="4811A657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  <w:t>A helyi közművelődési feladatok ellátásáról szóló 3/2021. (II.25.) önkormányzati rendelet bevezető része helyébe a következő rendelkezés lép:</w:t>
      </w:r>
    </w:p>
    <w:p w14:paraId="68273BC8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</w:p>
    <w:p w14:paraId="442D623D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  <w:t>„Balatonszepezd Község Önkormányzata Képviselő-testülete a muzeális intézményekről, a nyilvános könyvtári ellátásról és a közművelődésről szóló 1997. évi CXL. törvény 83/A. § (1) bekezdésében kapott felhatalmazás alapján, a Magyarország helyi önkormányzatairól szóló 2011. évi CLXXXIX. törvény 13. § (1) bekezdés 7. pontjában meghatározott feladatkörében eljárva a következőket rendeli el:”</w:t>
      </w:r>
    </w:p>
    <w:p w14:paraId="1C1E9E4C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</w:p>
    <w:p w14:paraId="5DAB7ECF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  <w:t>2. §</w:t>
      </w:r>
    </w:p>
    <w:p w14:paraId="172CA3B1" w14:textId="77777777" w:rsidR="001F41EA" w:rsidRPr="001F41EA" w:rsidRDefault="001F41EA" w:rsidP="001F41EA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4"/>
          <w:szCs w:val="24"/>
          <w:lang w:eastAsia="zh-CN" w:bidi="hi-IN"/>
        </w:rPr>
      </w:pPr>
    </w:p>
    <w:p w14:paraId="269084A2" w14:textId="77777777" w:rsidR="001F41EA" w:rsidRPr="001F41EA" w:rsidRDefault="001F41EA" w:rsidP="001F41EA">
      <w:pPr>
        <w:suppressAutoHyphens/>
        <w:jc w:val="both"/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</w:pPr>
      <w:r w:rsidRPr="001F41EA">
        <w:rPr>
          <w:rFonts w:ascii="Calibri" w:eastAsia="Noto Sans CJK SC Regular" w:hAnsi="Calibri" w:cs="Calibri"/>
          <w:kern w:val="2"/>
          <w:sz w:val="24"/>
          <w:szCs w:val="24"/>
          <w:lang w:eastAsia="zh-CN" w:bidi="hi-IN"/>
        </w:rPr>
        <w:t>Ez a rendelet a kihirdetését követő napon lép hatályba.</w:t>
      </w:r>
    </w:p>
    <w:p w14:paraId="113D11B2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6EDCA125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1F41EA">
        <w:rPr>
          <w:rFonts w:ascii="Calibri" w:eastAsia="Times New Roman" w:hAnsi="Calibri" w:cs="Calibri"/>
          <w:sz w:val="24"/>
          <w:szCs w:val="24"/>
        </w:rPr>
        <w:t>Balatonszepezd, 2021. november 19.</w:t>
      </w:r>
    </w:p>
    <w:p w14:paraId="211EED39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3A7F6306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4406A350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4DB40E80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Rcsostblzat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41EA" w:rsidRPr="001F41EA" w14:paraId="64768F1C" w14:textId="77777777" w:rsidTr="001F41EA">
        <w:tc>
          <w:tcPr>
            <w:tcW w:w="4531" w:type="dxa"/>
            <w:hideMark/>
          </w:tcPr>
          <w:p w14:paraId="0F9D278F" w14:textId="77777777" w:rsidR="001F41EA" w:rsidRPr="001F41EA" w:rsidRDefault="001F41EA" w:rsidP="001F41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F41EA">
              <w:rPr>
                <w:rFonts w:cs="Calibri"/>
                <w:b/>
                <w:bCs/>
                <w:sz w:val="24"/>
                <w:szCs w:val="24"/>
              </w:rPr>
              <w:t>Bíró Imre</w:t>
            </w:r>
          </w:p>
          <w:p w14:paraId="1B03515F" w14:textId="77777777" w:rsidR="001F41EA" w:rsidRPr="001F41EA" w:rsidRDefault="001F41EA" w:rsidP="001F41EA">
            <w:pPr>
              <w:jc w:val="center"/>
              <w:rPr>
                <w:rFonts w:cs="Calibri"/>
                <w:sz w:val="24"/>
                <w:szCs w:val="24"/>
              </w:rPr>
            </w:pPr>
            <w:r w:rsidRPr="001F41EA">
              <w:rPr>
                <w:rFonts w:cs="Calibri"/>
                <w:sz w:val="24"/>
                <w:szCs w:val="24"/>
              </w:rPr>
              <w:t>polgármester</w:t>
            </w:r>
          </w:p>
        </w:tc>
        <w:tc>
          <w:tcPr>
            <w:tcW w:w="4531" w:type="dxa"/>
            <w:hideMark/>
          </w:tcPr>
          <w:p w14:paraId="69557ABB" w14:textId="77777777" w:rsidR="001F41EA" w:rsidRPr="001F41EA" w:rsidRDefault="001F41EA" w:rsidP="001F41E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F41EA">
              <w:rPr>
                <w:rFonts w:cs="Calibri"/>
                <w:b/>
                <w:bCs/>
                <w:sz w:val="24"/>
                <w:szCs w:val="24"/>
              </w:rPr>
              <w:t>dr. Varga Viktória</w:t>
            </w:r>
          </w:p>
          <w:p w14:paraId="0F52543E" w14:textId="77777777" w:rsidR="001F41EA" w:rsidRPr="001F41EA" w:rsidRDefault="001F41EA" w:rsidP="001F41EA">
            <w:pPr>
              <w:jc w:val="center"/>
              <w:rPr>
                <w:rFonts w:cs="Calibri"/>
                <w:sz w:val="24"/>
                <w:szCs w:val="24"/>
              </w:rPr>
            </w:pPr>
            <w:r w:rsidRPr="001F41EA">
              <w:rPr>
                <w:rFonts w:cs="Calibri"/>
                <w:sz w:val="24"/>
                <w:szCs w:val="24"/>
              </w:rPr>
              <w:t>jegyző</w:t>
            </w:r>
          </w:p>
        </w:tc>
      </w:tr>
    </w:tbl>
    <w:p w14:paraId="335D150A" w14:textId="77777777" w:rsidR="001F41EA" w:rsidRPr="001F41EA" w:rsidRDefault="001F41EA" w:rsidP="001F41EA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12505033" w14:textId="77777777" w:rsidR="001F41EA" w:rsidRDefault="001F41EA" w:rsidP="001F41EA">
      <w:pPr>
        <w:spacing w:line="256" w:lineRule="auto"/>
        <w:rPr>
          <w:rFonts w:ascii="Calibri" w:eastAsia="Times New Roman" w:hAnsi="Calibri" w:cs="Calibri"/>
          <w:sz w:val="24"/>
          <w:szCs w:val="24"/>
        </w:rPr>
      </w:pPr>
    </w:p>
    <w:p w14:paraId="537FF5F2" w14:textId="77777777" w:rsidR="001F41EA" w:rsidRDefault="001F41EA" w:rsidP="001F41EA">
      <w:pPr>
        <w:spacing w:line="256" w:lineRule="auto"/>
        <w:rPr>
          <w:rFonts w:ascii="Calibri" w:eastAsia="Times New Roman" w:hAnsi="Calibri" w:cs="Calibri"/>
          <w:sz w:val="24"/>
          <w:szCs w:val="24"/>
        </w:rPr>
      </w:pPr>
    </w:p>
    <w:p w14:paraId="54887D52" w14:textId="0D682DCB" w:rsidR="001F41EA" w:rsidRPr="00965A15" w:rsidRDefault="001F41EA" w:rsidP="001F41EA">
      <w:pPr>
        <w:tabs>
          <w:tab w:val="center" w:pos="2552"/>
          <w:tab w:val="center" w:pos="7088"/>
        </w:tabs>
        <w:autoSpaceDE w:val="0"/>
        <w:autoSpaceDN w:val="0"/>
        <w:rPr>
          <w:rFonts w:ascii="Calibri" w:eastAsia="Batang" w:hAnsi="Calibri" w:cs="Calibri"/>
          <w:b/>
          <w:sz w:val="24"/>
          <w:szCs w:val="24"/>
          <w:lang w:eastAsia="hu-HU"/>
        </w:rPr>
      </w:pP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 xml:space="preserve">Kihirdetve: 2021. november </w:t>
      </w:r>
      <w:r>
        <w:rPr>
          <w:rFonts w:ascii="Calibri" w:eastAsia="Batang" w:hAnsi="Calibri" w:cs="Calibri"/>
          <w:b/>
          <w:sz w:val="24"/>
          <w:szCs w:val="24"/>
          <w:lang w:eastAsia="hu-HU"/>
        </w:rPr>
        <w:t>22</w:t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>.</w:t>
      </w:r>
    </w:p>
    <w:p w14:paraId="133C84C4" w14:textId="77777777" w:rsidR="001F41EA" w:rsidRPr="00965A15" w:rsidRDefault="001F41EA" w:rsidP="001F41EA">
      <w:pPr>
        <w:tabs>
          <w:tab w:val="center" w:pos="2552"/>
          <w:tab w:val="center" w:pos="7088"/>
        </w:tabs>
        <w:autoSpaceDE w:val="0"/>
        <w:autoSpaceDN w:val="0"/>
        <w:rPr>
          <w:rFonts w:ascii="Calibri" w:eastAsia="Batang" w:hAnsi="Calibri" w:cs="Calibri"/>
          <w:b/>
          <w:sz w:val="24"/>
          <w:szCs w:val="24"/>
          <w:lang w:eastAsia="hu-HU"/>
        </w:rPr>
      </w:pPr>
    </w:p>
    <w:p w14:paraId="13BDFBBE" w14:textId="77777777" w:rsidR="001F41EA" w:rsidRPr="00965A15" w:rsidRDefault="001F41EA" w:rsidP="001F41EA">
      <w:pPr>
        <w:tabs>
          <w:tab w:val="center" w:pos="2552"/>
          <w:tab w:val="center" w:pos="7088"/>
        </w:tabs>
        <w:autoSpaceDE w:val="0"/>
        <w:autoSpaceDN w:val="0"/>
        <w:rPr>
          <w:rFonts w:ascii="Calibri" w:eastAsia="Batang" w:hAnsi="Calibri" w:cs="Calibri"/>
          <w:b/>
          <w:sz w:val="24"/>
          <w:szCs w:val="24"/>
          <w:lang w:eastAsia="hu-HU"/>
        </w:rPr>
      </w:pPr>
    </w:p>
    <w:p w14:paraId="7A6F65C3" w14:textId="77777777" w:rsidR="001F41EA" w:rsidRPr="00965A15" w:rsidRDefault="001F41EA" w:rsidP="001F41EA">
      <w:pPr>
        <w:autoSpaceDE w:val="0"/>
        <w:autoSpaceDN w:val="0"/>
        <w:rPr>
          <w:rFonts w:ascii="Calibri" w:eastAsia="Batang" w:hAnsi="Calibri" w:cs="Calibri"/>
          <w:b/>
          <w:sz w:val="24"/>
          <w:szCs w:val="24"/>
          <w:lang w:eastAsia="hu-HU"/>
        </w:rPr>
      </w:pP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  <w:t>dr. Varga Viktória</w:t>
      </w:r>
    </w:p>
    <w:p w14:paraId="1E9FDD75" w14:textId="77777777" w:rsidR="001F41EA" w:rsidRPr="00965A15" w:rsidRDefault="001F41EA" w:rsidP="001F41EA">
      <w:pPr>
        <w:autoSpaceDE w:val="0"/>
        <w:autoSpaceDN w:val="0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</w:r>
      <w:r w:rsidRPr="00965A15">
        <w:rPr>
          <w:rFonts w:ascii="Calibri" w:eastAsia="Batang" w:hAnsi="Calibri" w:cs="Calibri"/>
          <w:b/>
          <w:sz w:val="24"/>
          <w:szCs w:val="24"/>
          <w:lang w:eastAsia="hu-HU"/>
        </w:rPr>
        <w:tab/>
        <w:t xml:space="preserve">          jegyző</w:t>
      </w:r>
    </w:p>
    <w:p w14:paraId="0E61A056" w14:textId="44D798FD" w:rsidR="007F655C" w:rsidRDefault="007F655C" w:rsidP="001F41EA">
      <w:pPr>
        <w:spacing w:line="256" w:lineRule="auto"/>
      </w:pPr>
    </w:p>
    <w:sectPr w:rsidR="007F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A"/>
    <w:rsid w:val="00126009"/>
    <w:rsid w:val="001F41EA"/>
    <w:rsid w:val="007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0C66"/>
  <w15:chartTrackingRefBased/>
  <w15:docId w15:val="{18AC6E01-9467-42FC-823C-0C9CACAE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uiPriority w:val="39"/>
    <w:rsid w:val="001F41E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Rozgonyi Viktoria</cp:lastModifiedBy>
  <cp:revision>1</cp:revision>
  <cp:lastPrinted>2021-11-19T10:18:00Z</cp:lastPrinted>
  <dcterms:created xsi:type="dcterms:W3CDTF">2021-11-19T10:16:00Z</dcterms:created>
  <dcterms:modified xsi:type="dcterms:W3CDTF">2021-11-19T10:18:00Z</dcterms:modified>
</cp:coreProperties>
</file>